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ABA9B"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146CBA90"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2025年广西科学技术奖提名项目公示材料（格式）</w:t>
      </w:r>
    </w:p>
    <w:p w14:paraId="44FC5D2D"/>
    <w:p w14:paraId="0AA66FBC">
      <w:pPr>
        <w:spacing w:line="360" w:lineRule="auto"/>
        <w:jc w:val="center"/>
        <w:rPr>
          <w:b/>
          <w:bCs/>
          <w:sz w:val="30"/>
          <w:szCs w:val="30"/>
        </w:rPr>
      </w:pPr>
      <w:bookmarkStart w:id="0" w:name="_Toc508093994"/>
      <w:bookmarkStart w:id="1" w:name="_Toc509412862"/>
      <w:r>
        <w:rPr>
          <w:rFonts w:hint="eastAsia" w:ascii="宋体" w:hAnsi="宋体" w:eastAsia="宋体" w:cs="宋体"/>
          <w:b/>
          <w:bCs/>
          <w:sz w:val="30"/>
          <w:szCs w:val="30"/>
        </w:rPr>
        <w:t>※</w:t>
      </w:r>
      <w:r>
        <w:rPr>
          <w:rFonts w:hint="eastAsia" w:eastAsia="宋体"/>
          <w:b/>
          <w:bCs/>
          <w:sz w:val="30"/>
          <w:szCs w:val="30"/>
        </w:rPr>
        <w:t>2025</w:t>
      </w:r>
      <w:r>
        <w:rPr>
          <w:b/>
          <w:bCs/>
          <w:sz w:val="30"/>
          <w:szCs w:val="30"/>
        </w:rPr>
        <w:t>年度广西</w:t>
      </w:r>
      <w:bookmarkEnd w:id="0"/>
      <w:bookmarkEnd w:id="1"/>
      <w:r>
        <w:rPr>
          <w:rFonts w:hint="eastAsia"/>
          <w:b/>
          <w:bCs/>
          <w:sz w:val="30"/>
          <w:szCs w:val="30"/>
        </w:rPr>
        <w:t>自然科学奖公示材料（格式）</w:t>
      </w:r>
    </w:p>
    <w:p w14:paraId="03175F77">
      <w:pPr>
        <w:spacing w:line="360" w:lineRule="auto"/>
        <w:rPr>
          <w:sz w:val="24"/>
        </w:rPr>
      </w:pPr>
    </w:p>
    <w:p w14:paraId="157A20A9">
      <w:pPr>
        <w:numPr>
          <w:ilvl w:val="0"/>
          <w:numId w:val="1"/>
        </w:numPr>
        <w:spacing w:line="360" w:lineRule="auto"/>
        <w:rPr>
          <w:rFonts w:ascii="Times New Roman" w:eastAsia="黑体"/>
          <w:b/>
          <w:sz w:val="24"/>
        </w:rPr>
      </w:pPr>
      <w:r>
        <w:rPr>
          <w:rFonts w:hint="eastAsia" w:ascii="Times New Roman" w:eastAsia="黑体"/>
          <w:b/>
          <w:sz w:val="24"/>
        </w:rPr>
        <w:t>成果</w:t>
      </w:r>
      <w:r>
        <w:rPr>
          <w:rFonts w:ascii="Times New Roman" w:eastAsia="黑体"/>
          <w:b/>
          <w:sz w:val="24"/>
        </w:rPr>
        <w:t>名称</w:t>
      </w:r>
      <w:r>
        <w:rPr>
          <w:rFonts w:hint="eastAsia" w:ascii="Times New Roman" w:eastAsia="黑体"/>
          <w:b/>
          <w:sz w:val="24"/>
        </w:rPr>
        <w:t>：</w:t>
      </w:r>
      <w:bookmarkStart w:id="13" w:name="_GoBack"/>
      <w:r>
        <w:rPr>
          <w:rFonts w:hint="eastAsia" w:ascii="Times New Roman" w:eastAsia="黑体"/>
          <w:b/>
          <w:sz w:val="24"/>
        </w:rPr>
        <w:t>盐藻油脂和类胡萝卜素代谢调控的研究</w:t>
      </w:r>
      <w:bookmarkEnd w:id="13"/>
      <w:r>
        <w:rPr>
          <w:rFonts w:hint="eastAsia" w:ascii="Times New Roman" w:eastAsia="黑体"/>
          <w:b/>
          <w:sz w:val="24"/>
        </w:rPr>
        <w:t xml:space="preserve">　　　　　　　　　 </w:t>
      </w:r>
    </w:p>
    <w:p w14:paraId="469368C0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ascii="Times New Roman" w:eastAsia="黑体"/>
          <w:b/>
          <w:sz w:val="24"/>
        </w:rPr>
        <w:t>提名者</w:t>
      </w:r>
      <w:r>
        <w:rPr>
          <w:rFonts w:hint="eastAsia" w:ascii="Times New Roman" w:eastAsia="黑体"/>
          <w:b/>
          <w:sz w:val="24"/>
        </w:rPr>
        <w:t>：</w:t>
      </w:r>
      <w:r>
        <w:rPr>
          <w:rFonts w:hint="eastAsia"/>
          <w:sz w:val="24"/>
        </w:rPr>
        <w:t>广西壮族自治区教育厅</w:t>
      </w:r>
    </w:p>
    <w:p w14:paraId="795A0D0D">
      <w:pPr>
        <w:numPr>
          <w:ilvl w:val="0"/>
          <w:numId w:val="1"/>
        </w:numPr>
        <w:spacing w:line="360" w:lineRule="auto"/>
        <w:rPr>
          <w:rFonts w:ascii="Times New Roman" w:eastAsia="黑体"/>
          <w:b/>
          <w:sz w:val="24"/>
        </w:rPr>
      </w:pPr>
      <w:r>
        <w:rPr>
          <w:rFonts w:ascii="Times New Roman" w:eastAsia="黑体"/>
          <w:b/>
          <w:sz w:val="24"/>
        </w:rPr>
        <w:t>代表性论文（专著）目录（不超过8篇）</w:t>
      </w:r>
    </w:p>
    <w:tbl>
      <w:tblPr>
        <w:tblStyle w:val="5"/>
        <w:tblW w:w="927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669"/>
        <w:gridCol w:w="659"/>
        <w:gridCol w:w="732"/>
        <w:gridCol w:w="462"/>
        <w:gridCol w:w="599"/>
        <w:gridCol w:w="525"/>
        <w:gridCol w:w="826"/>
        <w:gridCol w:w="563"/>
        <w:gridCol w:w="618"/>
        <w:gridCol w:w="636"/>
        <w:gridCol w:w="751"/>
        <w:gridCol w:w="919"/>
        <w:gridCol w:w="712"/>
      </w:tblGrid>
      <w:tr w14:paraId="594F1D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1874" w:hRule="atLeast"/>
          <w:jc w:val="center"/>
        </w:trPr>
        <w:tc>
          <w:tcPr>
            <w:tcW w:w="601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797C8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2" w:name="_Toc70090875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排序</w:t>
            </w:r>
            <w:bookmarkEnd w:id="2"/>
          </w:p>
        </w:tc>
        <w:tc>
          <w:tcPr>
            <w:tcW w:w="66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CD214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类型</w:t>
            </w:r>
          </w:p>
        </w:tc>
        <w:tc>
          <w:tcPr>
            <w:tcW w:w="65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C4399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论文专著名称</w:t>
            </w:r>
          </w:p>
        </w:tc>
        <w:tc>
          <w:tcPr>
            <w:tcW w:w="73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F978F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3" w:name="_Toc70090878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年卷页</w:t>
            </w:r>
            <w:bookmarkEnd w:id="3"/>
            <w:bookmarkStart w:id="4" w:name="_Toc70090879"/>
            <w:bookmarkEnd w:id="4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（</w:t>
            </w:r>
            <w:bookmarkStart w:id="5" w:name="_Toc70090880"/>
            <w:bookmarkEnd w:id="5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版号）</w:t>
            </w:r>
          </w:p>
        </w:tc>
        <w:tc>
          <w:tcPr>
            <w:tcW w:w="46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ED22B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6" w:name="_Toc72832406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发表日期</w:t>
            </w:r>
            <w:bookmarkEnd w:id="6"/>
          </w:p>
        </w:tc>
        <w:tc>
          <w:tcPr>
            <w:tcW w:w="59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9C25A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7" w:name="_Toc70090886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作者</w:t>
            </w:r>
            <w:bookmarkEnd w:id="7"/>
          </w:p>
        </w:tc>
        <w:tc>
          <w:tcPr>
            <w:tcW w:w="52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ED487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8" w:name="_Toc72832412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署名单位</w:t>
            </w:r>
            <w:bookmarkEnd w:id="8"/>
          </w:p>
        </w:tc>
        <w:tc>
          <w:tcPr>
            <w:tcW w:w="82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A1FD4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9" w:name="_Toc70090889"/>
            <w:r>
              <w:rPr>
                <w:rFonts w:ascii="Times New Roman" w:eastAsia="方正黑体_GBK" w:cs="Times New Roman"/>
                <w:snapToGrid w:val="0"/>
                <w:sz w:val="18"/>
                <w:szCs w:val="18"/>
              </w:rPr>
              <w:t>署名第一单位是否为国内单位</w:t>
            </w:r>
          </w:p>
        </w:tc>
        <w:tc>
          <w:tcPr>
            <w:tcW w:w="56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6615B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刊名</w:t>
            </w:r>
            <w:bookmarkEnd w:id="9"/>
            <w:r>
              <w:rPr>
                <w:rFonts w:hint="eastAsia" w:ascii="Times New Roman" w:eastAsia="方正黑体_GBK"/>
                <w:snapToGrid w:val="0"/>
                <w:sz w:val="18"/>
                <w:szCs w:val="18"/>
              </w:rPr>
              <w:t>（</w:t>
            </w:r>
            <w:r>
              <w:rPr>
                <w:rFonts w:hint="eastAsia" w:ascii="Times New Roman"/>
                <w:szCs w:val="28"/>
              </w:rPr>
              <w:t>国内</w:t>
            </w:r>
            <w:r>
              <w:rPr>
                <w:rFonts w:ascii="Times New Roman"/>
                <w:szCs w:val="28"/>
                <w:lang w:val="en"/>
              </w:rPr>
              <w:t>/</w:t>
            </w:r>
            <w:r>
              <w:rPr>
                <w:rFonts w:hint="eastAsia" w:ascii="Times New Roman"/>
                <w:szCs w:val="28"/>
                <w:lang w:val="en"/>
              </w:rPr>
              <w:t>国外期刊</w:t>
            </w:r>
            <w:r>
              <w:rPr>
                <w:rFonts w:hint="eastAsia" w:ascii="Times New Roman" w:eastAsia="方正黑体_GBK"/>
                <w:snapToGrid w:val="0"/>
                <w:sz w:val="18"/>
                <w:szCs w:val="18"/>
              </w:rPr>
              <w:t>）</w:t>
            </w:r>
          </w:p>
        </w:tc>
        <w:tc>
          <w:tcPr>
            <w:tcW w:w="61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C5EEA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通讯作者</w:t>
            </w:r>
          </w:p>
        </w:tc>
        <w:tc>
          <w:tcPr>
            <w:tcW w:w="63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57736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他引次数</w:t>
            </w:r>
          </w:p>
        </w:tc>
        <w:tc>
          <w:tcPr>
            <w:tcW w:w="75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C11B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10" w:name="_Toc70090890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检索数据库</w:t>
            </w:r>
            <w:bookmarkEnd w:id="10"/>
          </w:p>
        </w:tc>
        <w:tc>
          <w:tcPr>
            <w:tcW w:w="91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3B1D3D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前三</w:t>
            </w:r>
            <w:r>
              <w:rPr>
                <w:rFonts w:hint="eastAsia" w:ascii="Times New Roman" w:eastAsia="方正黑体_GBK"/>
                <w:snapToGrid w:val="0"/>
                <w:sz w:val="18"/>
                <w:szCs w:val="18"/>
              </w:rPr>
              <w:t>作者</w:t>
            </w: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（含通讯作者）</w:t>
            </w:r>
            <w:r>
              <w:rPr>
                <w:rFonts w:hint="eastAsia" w:ascii="Times New Roman" w:eastAsia="方正黑体_GBK"/>
                <w:snapToGrid w:val="0"/>
                <w:sz w:val="18"/>
                <w:szCs w:val="18"/>
              </w:rPr>
              <w:t>署名单位</w:t>
            </w: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是否</w:t>
            </w:r>
            <w:r>
              <w:rPr>
                <w:rFonts w:hint="eastAsia" w:ascii="Times New Roman" w:eastAsia="方正黑体_GBK"/>
                <w:snapToGrid w:val="0"/>
                <w:sz w:val="18"/>
                <w:szCs w:val="18"/>
              </w:rPr>
              <w:t>包含</w:t>
            </w: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广西单位</w:t>
            </w:r>
          </w:p>
        </w:tc>
        <w:tc>
          <w:tcPr>
            <w:tcW w:w="71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C2C35B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附件</w:t>
            </w:r>
            <w:bookmarkStart w:id="11" w:name="_Toc70090891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编号</w:t>
            </w:r>
            <w:bookmarkEnd w:id="11"/>
          </w:p>
        </w:tc>
      </w:tr>
      <w:tr w14:paraId="39F74E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056C9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1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6FC56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S</w:t>
            </w:r>
            <w:r>
              <w:rPr>
                <w:rFonts w:ascii="Times New Roman"/>
                <w:snapToGrid w:val="0"/>
                <w:sz w:val="18"/>
                <w:szCs w:val="18"/>
              </w:rPr>
              <w:t>CI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227CC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5"/>
                <w:szCs w:val="15"/>
              </w:rPr>
              <w:t>Discovery of genes for production of biofuels through transcriptome sequencing of Dunaliella parva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3FA87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2016, 13: 318-326.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5F3FA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2016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年</w:t>
            </w:r>
            <w:r>
              <w:rPr>
                <w:rFonts w:ascii="Times New Roman"/>
                <w:snapToGrid w:val="0"/>
                <w:sz w:val="18"/>
                <w:szCs w:val="18"/>
              </w:rPr>
              <w:t>1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月1日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D7B30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尚常花，毕桂灿，袁振宏，王忠铭，</w:t>
            </w:r>
            <w:r>
              <w:rPr>
                <w:rFonts w:ascii="Times New Roman"/>
                <w:snapToGrid w:val="0"/>
                <w:sz w:val="18"/>
                <w:szCs w:val="18"/>
              </w:rPr>
              <w:t>Mohammad Asraful Alam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，谢君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C57AF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华南农业大学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7845A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B2725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bookmarkStart w:id="12" w:name="_Hlk205818639"/>
            <w:r>
              <w:rPr>
                <w:rFonts w:ascii="Times New Roman"/>
                <w:snapToGrid w:val="0"/>
                <w:sz w:val="18"/>
                <w:szCs w:val="18"/>
              </w:rPr>
              <w:t>Algal Research-Biomass Biofuels and Bioproducts</w:t>
            </w:r>
            <w:bookmarkEnd w:id="12"/>
            <w:r>
              <w:rPr>
                <w:rFonts w:hint="eastAsia" w:ascii="Times New Roman"/>
                <w:snapToGrid w:val="0"/>
                <w:sz w:val="18"/>
                <w:szCs w:val="18"/>
              </w:rPr>
              <w:t>（国外）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0AC2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谢君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FD6B8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3</w:t>
            </w:r>
            <w:r>
              <w:rPr>
                <w:rFonts w:ascii="Times New Roman"/>
                <w:snapToGrid w:val="0"/>
                <w:sz w:val="18"/>
                <w:szCs w:val="18"/>
              </w:rPr>
              <w:t>9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6FEA9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S</w:t>
            </w:r>
            <w:r>
              <w:rPr>
                <w:rFonts w:ascii="Times New Roman"/>
                <w:snapToGrid w:val="0"/>
                <w:sz w:val="18"/>
                <w:szCs w:val="18"/>
              </w:rPr>
              <w:t>CIE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748A5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否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7859B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1</w:t>
            </w:r>
          </w:p>
        </w:tc>
      </w:tr>
      <w:tr w14:paraId="517CC0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17F7B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2DF7E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S</w:t>
            </w:r>
            <w:r>
              <w:rPr>
                <w:rFonts w:ascii="Times New Roman"/>
                <w:snapToGrid w:val="0"/>
                <w:sz w:val="18"/>
                <w:szCs w:val="18"/>
              </w:rPr>
              <w:t>CI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1038E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5"/>
                <w:szCs w:val="15"/>
              </w:rPr>
              <w:t>Cloning and differential expression analysis of geranylgeranyl diphosphate synthase gene from Dunaliella parva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3B8BA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2016, 28(4): 2397-2405.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C7A1A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2016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年</w:t>
            </w:r>
            <w:r>
              <w:rPr>
                <w:rFonts w:ascii="Times New Roman"/>
                <w:snapToGrid w:val="0"/>
                <w:sz w:val="18"/>
                <w:szCs w:val="18"/>
              </w:rPr>
              <w:t>8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月1日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4D570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尚常花，徐晓丽，袁振宏，王忠铭，胡磊，</w:t>
            </w:r>
            <w:r>
              <w:rPr>
                <w:rFonts w:ascii="Times New Roman"/>
                <w:snapToGrid w:val="0"/>
                <w:sz w:val="18"/>
                <w:szCs w:val="18"/>
              </w:rPr>
              <w:t>Mohammad Asraful Alam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，谢君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339B9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华南农业大学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E1537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E959E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Journal of Applied Phycology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（国外）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7964B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谢君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91962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5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8BF25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S</w:t>
            </w:r>
            <w:r>
              <w:rPr>
                <w:rFonts w:ascii="Times New Roman"/>
                <w:snapToGrid w:val="0"/>
                <w:sz w:val="18"/>
                <w:szCs w:val="18"/>
              </w:rPr>
              <w:t>CIE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2B928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否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17EBF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2</w:t>
            </w:r>
          </w:p>
        </w:tc>
      </w:tr>
      <w:tr w14:paraId="2281A39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EF027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E6035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S</w:t>
            </w:r>
            <w:r>
              <w:rPr>
                <w:rFonts w:ascii="Times New Roman"/>
                <w:snapToGrid w:val="0"/>
                <w:sz w:val="18"/>
                <w:szCs w:val="18"/>
              </w:rPr>
              <w:t>CI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7C936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5"/>
                <w:szCs w:val="15"/>
              </w:rPr>
              <w:t>Proteome response of Dunaliella parva induced by nitrogen limitation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1DEE8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2017, 23: 196-202.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2DDFC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2</w:t>
            </w:r>
            <w:r>
              <w:rPr>
                <w:rFonts w:ascii="Times New Roman"/>
                <w:snapToGrid w:val="0"/>
                <w:sz w:val="18"/>
                <w:szCs w:val="18"/>
              </w:rPr>
              <w:t>017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年4月1日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2037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尚常花，朱顺妮，王忠铭，秦磊，</w:t>
            </w:r>
            <w:r>
              <w:rPr>
                <w:rFonts w:ascii="Times New Roman"/>
                <w:snapToGrid w:val="0"/>
                <w:sz w:val="18"/>
                <w:szCs w:val="18"/>
              </w:rPr>
              <w:t>Mohammad Asraful Alam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，谢君，袁振宏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A860B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中国科学院广州能源研究所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4F467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885D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Algal Research-Biomass Biofuels and Bioproducts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（国外）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680F4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袁振宏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48B45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3</w:t>
            </w:r>
            <w:r>
              <w:rPr>
                <w:rFonts w:ascii="Times New Roman"/>
                <w:snapToGrid w:val="0"/>
                <w:sz w:val="18"/>
                <w:szCs w:val="18"/>
              </w:rPr>
              <w:t>0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AB75D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S</w:t>
            </w:r>
            <w:r>
              <w:rPr>
                <w:rFonts w:ascii="Times New Roman"/>
                <w:snapToGrid w:val="0"/>
                <w:sz w:val="18"/>
                <w:szCs w:val="18"/>
              </w:rPr>
              <w:t>CIE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5594F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否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6B78D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3</w:t>
            </w:r>
          </w:p>
        </w:tc>
      </w:tr>
      <w:tr w14:paraId="610927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8109B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AA1AA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S</w:t>
            </w:r>
            <w:r>
              <w:rPr>
                <w:rFonts w:ascii="Times New Roman"/>
                <w:snapToGrid w:val="0"/>
                <w:sz w:val="18"/>
                <w:szCs w:val="18"/>
              </w:rPr>
              <w:t>CI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38DE4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5"/>
                <w:szCs w:val="15"/>
              </w:rPr>
              <w:t>The responses of two genes encoding phytoene synthase (Psy) and phytoene desaturase (Pds) to nitrogen limitation and salinity up-shock with special emphasis on carotenogenesis in Dunaliella parva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860EC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2018, 32: 1-10.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AC6DB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2018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年</w:t>
            </w:r>
            <w:r>
              <w:rPr>
                <w:rFonts w:ascii="Times New Roman"/>
                <w:snapToGrid w:val="0"/>
                <w:sz w:val="18"/>
                <w:szCs w:val="18"/>
              </w:rPr>
              <w:t>6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月1日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9E39B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尚常花，王闻，朱顺妮，王忠铭，秦磊，</w:t>
            </w:r>
            <w:r>
              <w:rPr>
                <w:rFonts w:ascii="Times New Roman"/>
                <w:snapToGrid w:val="0"/>
                <w:sz w:val="18"/>
                <w:szCs w:val="18"/>
              </w:rPr>
              <w:t>Mohammad Asraful Alam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，谢君，袁振宏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59849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 xml:space="preserve">广西师范大学 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7171A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66917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Algal Research-Biomass Biofuels and Bioproducts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（国外）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D158A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尚常花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37E62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7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9A5A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S</w:t>
            </w:r>
            <w:r>
              <w:rPr>
                <w:rFonts w:ascii="Times New Roman"/>
                <w:snapToGrid w:val="0"/>
                <w:sz w:val="18"/>
                <w:szCs w:val="18"/>
              </w:rPr>
              <w:t>CIE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34F23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E40EE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4</w:t>
            </w:r>
          </w:p>
        </w:tc>
      </w:tr>
      <w:tr w14:paraId="0C40A4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63E2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5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A9E63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S</w:t>
            </w:r>
            <w:r>
              <w:rPr>
                <w:rFonts w:ascii="Times New Roman"/>
                <w:snapToGrid w:val="0"/>
                <w:sz w:val="18"/>
                <w:szCs w:val="18"/>
              </w:rPr>
              <w:t>CI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C1974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5"/>
                <w:szCs w:val="15"/>
              </w:rPr>
              <w:t>Identification of targets of transcription factor WRINKLED1-like related to lipid biosynthesis from marine microalga Dunaliella parva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0F3A9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2022, 8: 807493.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6B3D5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2022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年</w:t>
            </w:r>
            <w:r>
              <w:rPr>
                <w:rFonts w:ascii="Times New Roman"/>
                <w:snapToGrid w:val="0"/>
                <w:sz w:val="18"/>
                <w:szCs w:val="18"/>
              </w:rPr>
              <w:t>2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月</w:t>
            </w:r>
            <w:r>
              <w:rPr>
                <w:rFonts w:ascii="Times New Roman"/>
                <w:snapToGrid w:val="0"/>
                <w:sz w:val="18"/>
                <w:szCs w:val="18"/>
              </w:rPr>
              <w:t>17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日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F5BA2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尚常花，庞冰冰，余虹伶，甘姗灵，李雨佳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D1AC5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 xml:space="preserve">广西师范大学 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CBE8B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B7054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Frontiers in Marine Science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（国外）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A2DF2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尚常花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5C981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5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DE579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S</w:t>
            </w:r>
            <w:r>
              <w:rPr>
                <w:rFonts w:ascii="Times New Roman"/>
                <w:snapToGrid w:val="0"/>
                <w:sz w:val="18"/>
                <w:szCs w:val="18"/>
              </w:rPr>
              <w:t>CIE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AC2EA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EAB2A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5</w:t>
            </w:r>
          </w:p>
        </w:tc>
      </w:tr>
      <w:tr w14:paraId="416B09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7A436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6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DCC0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S</w:t>
            </w:r>
            <w:r>
              <w:rPr>
                <w:rFonts w:ascii="Times New Roman"/>
                <w:snapToGrid w:val="0"/>
                <w:sz w:val="18"/>
                <w:szCs w:val="18"/>
              </w:rPr>
              <w:t>CI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3CBBE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5"/>
                <w:szCs w:val="15"/>
              </w:rPr>
              <w:t>Identification of interacting proteins of transcription factor DpAP2 related to carotenoid biosynthesis from marine microalga Dunaliella parva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61E87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A305C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2022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年</w:t>
            </w:r>
            <w:r>
              <w:rPr>
                <w:rFonts w:ascii="Times New Roman"/>
                <w:snapToGrid w:val="0"/>
                <w:sz w:val="18"/>
                <w:szCs w:val="18"/>
              </w:rPr>
              <w:t>6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月</w:t>
            </w:r>
            <w:r>
              <w:rPr>
                <w:rFonts w:ascii="Times New Roman"/>
                <w:snapToGrid w:val="0"/>
                <w:sz w:val="18"/>
                <w:szCs w:val="18"/>
              </w:rPr>
              <w:t>23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日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3D37B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尚常花，庞冰冰，张瑾，虞丽泓，甘姗灵，李雨佳，吴海锋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CB9A2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 xml:space="preserve">广西师范大学 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5A724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B7D89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Frontiers in Marine Science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（国外）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DA9F5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尚常花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35BC7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86F02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S</w:t>
            </w:r>
            <w:r>
              <w:rPr>
                <w:rFonts w:ascii="Times New Roman"/>
                <w:snapToGrid w:val="0"/>
                <w:sz w:val="18"/>
                <w:szCs w:val="18"/>
              </w:rPr>
              <w:t>CIE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11CCD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F6BAB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6</w:t>
            </w:r>
          </w:p>
        </w:tc>
      </w:tr>
      <w:tr w14:paraId="6D2411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CCFF5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7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706FE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S</w:t>
            </w:r>
            <w:r>
              <w:rPr>
                <w:rFonts w:ascii="Times New Roman"/>
                <w:snapToGrid w:val="0"/>
                <w:sz w:val="18"/>
                <w:szCs w:val="18"/>
              </w:rPr>
              <w:t>CI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2B6D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5"/>
                <w:szCs w:val="15"/>
              </w:rPr>
              <w:t>Optimization of carotenoid extraction of a halophilic microalgae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FC4C4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2022, 17(8): e0270650.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B0A64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2</w:t>
            </w:r>
            <w:r>
              <w:rPr>
                <w:rFonts w:ascii="Times New Roman"/>
                <w:snapToGrid w:val="0"/>
                <w:sz w:val="18"/>
                <w:szCs w:val="18"/>
              </w:rPr>
              <w:t>022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年8月2日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F8E17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甘姗灵，梁升佳，邹骐蔓，尚常花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EF0D0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 xml:space="preserve">广西师范大学 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E8D24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B689B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PLoS One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（国外）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2B196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尚常花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87DA0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1</w:t>
            </w:r>
            <w:r>
              <w:rPr>
                <w:rFonts w:asci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25225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S</w:t>
            </w:r>
            <w:r>
              <w:rPr>
                <w:rFonts w:ascii="Times New Roman"/>
                <w:snapToGrid w:val="0"/>
                <w:sz w:val="18"/>
                <w:szCs w:val="18"/>
              </w:rPr>
              <w:t>CIE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2D4B4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D138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7</w:t>
            </w:r>
          </w:p>
        </w:tc>
      </w:tr>
      <w:tr w14:paraId="650B0E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6306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7709B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3DAAA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43C96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97C3B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AB29E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E008E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18C74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721B5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CFA28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B3EC8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A7622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B27D7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61047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</w:tr>
      <w:tr w14:paraId="1C1C30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5636" w:type="dxa"/>
            <w:gridSpan w:val="9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F7D0E8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合计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95E19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5CA58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1</w:t>
            </w:r>
            <w:r>
              <w:rPr>
                <w:rFonts w:ascii="Times New Roman"/>
                <w:snapToGrid w:val="0"/>
                <w:sz w:val="18"/>
                <w:szCs w:val="18"/>
              </w:rPr>
              <w:t>02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5B442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/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D6D40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/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C4848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/</w:t>
            </w:r>
          </w:p>
        </w:tc>
      </w:tr>
    </w:tbl>
    <w:p w14:paraId="531B92C9">
      <w:pPr>
        <w:spacing w:line="406" w:lineRule="exact"/>
        <w:outlineLvl w:val="1"/>
        <w:rPr>
          <w:rFonts w:ascii="Times New Roman"/>
          <w:b/>
          <w:bCs/>
          <w:snapToGrid w:val="0"/>
          <w:sz w:val="28"/>
          <w:szCs w:val="28"/>
        </w:rPr>
      </w:pPr>
      <w:r>
        <w:rPr>
          <w:rFonts w:hint="eastAsia" w:ascii="Times New Roman" w:eastAsia="宋体"/>
          <w:szCs w:val="21"/>
        </w:rPr>
        <w:t>注：按重要程度排序。一般不超过</w:t>
      </w:r>
      <w:r>
        <w:rPr>
          <w:rFonts w:ascii="Times New Roman" w:eastAsia="宋体"/>
          <w:szCs w:val="21"/>
        </w:rPr>
        <w:t>7</w:t>
      </w:r>
      <w:r>
        <w:rPr>
          <w:rFonts w:hint="eastAsia" w:ascii="Times New Roman" w:eastAsia="宋体"/>
          <w:szCs w:val="21"/>
        </w:rPr>
        <w:t>篇，如有在国内期刊发表的论文或国内出版的专著，可填不超过</w:t>
      </w:r>
      <w:r>
        <w:rPr>
          <w:rFonts w:ascii="Times New Roman" w:eastAsia="宋体"/>
          <w:szCs w:val="21"/>
        </w:rPr>
        <w:t>8</w:t>
      </w:r>
      <w:r>
        <w:rPr>
          <w:rFonts w:hint="eastAsia" w:ascii="Times New Roman" w:eastAsia="宋体"/>
          <w:szCs w:val="21"/>
        </w:rPr>
        <w:t>篇。</w:t>
      </w:r>
    </w:p>
    <w:p w14:paraId="115A225B">
      <w:pPr>
        <w:spacing w:line="360" w:lineRule="auto"/>
        <w:rPr>
          <w:rFonts w:ascii="Times New Roman" w:eastAsia="黑体"/>
          <w:b/>
          <w:sz w:val="24"/>
        </w:rPr>
      </w:pPr>
      <w:r>
        <w:rPr>
          <w:rFonts w:hint="eastAsia" w:ascii="Times New Roman" w:eastAsia="黑体"/>
          <w:b/>
          <w:sz w:val="24"/>
        </w:rPr>
        <w:t>四、</w:t>
      </w:r>
      <w:r>
        <w:rPr>
          <w:rFonts w:ascii="Times New Roman" w:eastAsia="黑体"/>
          <w:b/>
          <w:sz w:val="24"/>
        </w:rPr>
        <w:t xml:space="preserve"> </w:t>
      </w:r>
      <w:r>
        <w:rPr>
          <w:rFonts w:hint="eastAsia" w:ascii="Times New Roman" w:eastAsia="黑体"/>
          <w:b/>
          <w:sz w:val="24"/>
        </w:rPr>
        <w:t>候选人姓名</w:t>
      </w:r>
    </w:p>
    <w:p w14:paraId="569536CD">
      <w:pPr>
        <w:spacing w:line="360" w:lineRule="auto"/>
        <w:rPr>
          <w:rFonts w:hint="eastAsia" w:ascii="Times New Roman" w:eastAsia="宋体"/>
          <w:szCs w:val="21"/>
        </w:rPr>
      </w:pPr>
      <w:r>
        <w:rPr>
          <w:rFonts w:hint="eastAsia" w:ascii="Times New Roman" w:eastAsia="宋体"/>
          <w:szCs w:val="21"/>
        </w:rPr>
        <w:t>尚常花</w:t>
      </w:r>
    </w:p>
    <w:p w14:paraId="3F0A7858">
      <w:pPr>
        <w:spacing w:line="360" w:lineRule="auto"/>
        <w:rPr>
          <w:rFonts w:ascii="Times New Roman" w:eastAsia="黑体"/>
          <w:b/>
          <w:sz w:val="24"/>
        </w:rPr>
      </w:pPr>
      <w:r>
        <w:rPr>
          <w:rFonts w:hint="eastAsia" w:ascii="Times New Roman" w:eastAsia="黑体"/>
          <w:b/>
          <w:sz w:val="24"/>
        </w:rPr>
        <w:t>五、候选组织名称</w:t>
      </w:r>
    </w:p>
    <w:p w14:paraId="46A6EFDC">
      <w:pPr>
        <w:spacing w:line="360" w:lineRule="auto"/>
        <w:rPr>
          <w:rFonts w:ascii="Times New Roman" w:eastAsia="宋体"/>
          <w:szCs w:val="21"/>
        </w:rPr>
      </w:pPr>
      <w:r>
        <w:rPr>
          <w:rFonts w:hint="eastAsia" w:ascii="Times New Roman" w:eastAsia="宋体"/>
          <w:szCs w:val="21"/>
        </w:rPr>
        <w:t>广西师范大学</w:t>
      </w:r>
    </w:p>
    <w:p w14:paraId="19A96BFC">
      <w:pPr>
        <w:spacing w:line="406" w:lineRule="exact"/>
        <w:outlineLvl w:val="1"/>
        <w:rPr>
          <w:rFonts w:ascii="Times New Roman" w:eastAsia="黑体"/>
          <w:b/>
          <w:sz w:val="24"/>
        </w:rPr>
      </w:pPr>
      <w:r>
        <w:rPr>
          <w:rFonts w:hint="eastAsia" w:ascii="Times New Roman" w:eastAsia="黑体"/>
          <w:b/>
          <w:sz w:val="24"/>
        </w:rPr>
        <w:t>六、候选个人合作情况</w:t>
      </w:r>
    </w:p>
    <w:p w14:paraId="72B4A054">
      <w:pPr>
        <w:spacing w:line="360" w:lineRule="auto"/>
        <w:rPr>
          <w:rFonts w:ascii="Times New Roman" w:eastAsia="黑体"/>
          <w:b/>
          <w:sz w:val="24"/>
        </w:rPr>
      </w:pPr>
      <w:r>
        <w:rPr>
          <w:rFonts w:ascii="Times New Roman"/>
          <w:snapToGrid w:val="0"/>
          <w:color w:val="000000"/>
          <w:szCs w:val="21"/>
        </w:rPr>
        <w:t>（候选个人不在同一工作单位的，应填写该说明。</w:t>
      </w:r>
      <w:r>
        <w:rPr>
          <w:rFonts w:ascii="Times New Roman"/>
          <w:b/>
          <w:bCs/>
          <w:snapToGrid w:val="0"/>
          <w:color w:val="000000"/>
          <w:szCs w:val="21"/>
        </w:rPr>
        <w:t>候选个人均为同一单位则不用填写该说明。</w:t>
      </w:r>
      <w:r>
        <w:rPr>
          <w:rFonts w:ascii="Times New Roman"/>
          <w:snapToGrid w:val="0"/>
          <w:color w:val="000000"/>
          <w:szCs w:val="21"/>
        </w:rPr>
        <w:t>）</w:t>
      </w:r>
    </w:p>
    <w:p w14:paraId="28AEEFC6">
      <w:pPr>
        <w:autoSpaceDE w:val="0"/>
        <w:autoSpaceDN w:val="0"/>
        <w:adjustRightInd w:val="0"/>
        <w:snapToGrid w:val="0"/>
        <w:spacing w:before="156" w:beforeLines="50" w:line="312" w:lineRule="auto"/>
        <w:ind w:firstLine="480" w:firstLineChars="200"/>
        <w:rPr>
          <w:rFonts w:ascii="宋体" w:hAnsi="宋体" w:eastAsia="宋体" w:cs="宋体"/>
          <w:sz w:val="24"/>
        </w:rPr>
      </w:pPr>
    </w:p>
    <w:p w14:paraId="0A50A974">
      <w:pPr>
        <w:autoSpaceDE w:val="0"/>
        <w:autoSpaceDN w:val="0"/>
        <w:adjustRightInd w:val="0"/>
        <w:snapToGrid w:val="0"/>
        <w:spacing w:before="156" w:beforeLines="50" w:line="312" w:lineRule="auto"/>
        <w:ind w:firstLine="480" w:firstLineChars="200"/>
        <w:rPr>
          <w:rFonts w:eastAsia="仿宋"/>
          <w:kern w:val="0"/>
          <w:sz w:val="24"/>
        </w:rPr>
      </w:pPr>
    </w:p>
    <w:p w14:paraId="41A0C5CD">
      <w:pPr>
        <w:autoSpaceDE w:val="0"/>
        <w:autoSpaceDN w:val="0"/>
        <w:adjustRightInd w:val="0"/>
        <w:snapToGrid w:val="0"/>
        <w:spacing w:before="156" w:beforeLines="50" w:line="312" w:lineRule="auto"/>
        <w:ind w:firstLine="480" w:firstLineChars="200"/>
        <w:rPr>
          <w:rFonts w:eastAsia="仿宋"/>
          <w:kern w:val="0"/>
          <w:sz w:val="24"/>
        </w:rPr>
      </w:pPr>
    </w:p>
    <w:p w14:paraId="78ED38DC"/>
    <w:p w14:paraId="6114059D"/>
    <w:p w14:paraId="123E8B3D"/>
    <w:p w14:paraId="5D8658E4"/>
    <w:p w14:paraId="2238BAE5"/>
    <w:p w14:paraId="1B319157"/>
    <w:p w14:paraId="089B9823"/>
    <w:p w14:paraId="3C26D05D"/>
    <w:p w14:paraId="49989914"/>
    <w:p w14:paraId="595B3E6C"/>
    <w:p w14:paraId="5685A037"/>
    <w:p w14:paraId="4471A754"/>
    <w:p w14:paraId="1632C4D6"/>
    <w:p w14:paraId="69A7E7F6"/>
    <w:p w14:paraId="7927DEE6"/>
    <w:p w14:paraId="4FA2AE44"/>
    <w:p w14:paraId="2D0DEFE9"/>
    <w:p w14:paraId="290A728F"/>
    <w:p w14:paraId="323D6FC1"/>
    <w:p w14:paraId="776DB616"/>
    <w:p w14:paraId="2002BDC4"/>
    <w:p w14:paraId="2936E282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85FFD2"/>
    <w:multiLevelType w:val="singleLevel"/>
    <w:tmpl w:val="8885FFD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0Yjg1YmE0ZDNhMzU4NGQ2ZWZlN2Q4MTI2NTI3ZWMifQ=="/>
  </w:docVars>
  <w:rsids>
    <w:rsidRoot w:val="4DD264DD"/>
    <w:rsid w:val="002F3284"/>
    <w:rsid w:val="00486463"/>
    <w:rsid w:val="00A94715"/>
    <w:rsid w:val="00C813C4"/>
    <w:rsid w:val="034A492C"/>
    <w:rsid w:val="04AC3F9B"/>
    <w:rsid w:val="063A1D84"/>
    <w:rsid w:val="07DC7F5D"/>
    <w:rsid w:val="08A136D0"/>
    <w:rsid w:val="0D077DD0"/>
    <w:rsid w:val="0D300D24"/>
    <w:rsid w:val="0E5011DB"/>
    <w:rsid w:val="118F73BD"/>
    <w:rsid w:val="12E106A8"/>
    <w:rsid w:val="14D44B46"/>
    <w:rsid w:val="17B55412"/>
    <w:rsid w:val="1846583E"/>
    <w:rsid w:val="184C3B0E"/>
    <w:rsid w:val="1AAF4592"/>
    <w:rsid w:val="1B5B0D00"/>
    <w:rsid w:val="1E2945F3"/>
    <w:rsid w:val="1FCE5B03"/>
    <w:rsid w:val="200336C9"/>
    <w:rsid w:val="21CF7850"/>
    <w:rsid w:val="21D47CFA"/>
    <w:rsid w:val="262A1823"/>
    <w:rsid w:val="2AFD403A"/>
    <w:rsid w:val="2BEA5201"/>
    <w:rsid w:val="2E937BAF"/>
    <w:rsid w:val="2F7A07EA"/>
    <w:rsid w:val="354F7A5C"/>
    <w:rsid w:val="37E82428"/>
    <w:rsid w:val="3D5C7B44"/>
    <w:rsid w:val="3F7A24B6"/>
    <w:rsid w:val="40200920"/>
    <w:rsid w:val="44CE0CDE"/>
    <w:rsid w:val="49C2364F"/>
    <w:rsid w:val="4B606CA4"/>
    <w:rsid w:val="4DD264DD"/>
    <w:rsid w:val="543B201B"/>
    <w:rsid w:val="54946CD8"/>
    <w:rsid w:val="54E91255"/>
    <w:rsid w:val="54ED2391"/>
    <w:rsid w:val="555F7705"/>
    <w:rsid w:val="56877A75"/>
    <w:rsid w:val="57D04A0C"/>
    <w:rsid w:val="5AD7476A"/>
    <w:rsid w:val="5BFC7C93"/>
    <w:rsid w:val="5DB84FF3"/>
    <w:rsid w:val="5FEC2DAE"/>
    <w:rsid w:val="60A05A85"/>
    <w:rsid w:val="62F433AC"/>
    <w:rsid w:val="62FA7A7A"/>
    <w:rsid w:val="64293540"/>
    <w:rsid w:val="6492182D"/>
    <w:rsid w:val="693826BE"/>
    <w:rsid w:val="6D535020"/>
    <w:rsid w:val="6FD721E7"/>
    <w:rsid w:val="73071C95"/>
    <w:rsid w:val="763703FC"/>
    <w:rsid w:val="76980E27"/>
    <w:rsid w:val="7A6B4D41"/>
    <w:rsid w:val="7D283C84"/>
    <w:rsid w:val="7FCA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3">
    <w:name w:val="Plain Text"/>
    <w:basedOn w:val="1"/>
    <w:qFormat/>
    <w:uiPriority w:val="0"/>
    <w:rPr>
      <w:rFonts w:ascii="宋体" w:hAnsi="Courier New" w:eastAsia="宋体"/>
      <w:szCs w:val="21"/>
    </w:rPr>
  </w:style>
  <w:style w:type="paragraph" w:styleId="4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Cs w:val="32"/>
    </w:rPr>
  </w:style>
  <w:style w:type="character" w:customStyle="1" w:styleId="7">
    <w:name w:val="17"/>
    <w:basedOn w:val="6"/>
    <w:autoRedefine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4</Pages>
  <Words>827</Words>
  <Characters>1833</Characters>
  <Lines>15</Lines>
  <Paragraphs>4</Paragraphs>
  <TotalTime>32</TotalTime>
  <ScaleCrop>false</ScaleCrop>
  <LinksUpToDate>false</LinksUpToDate>
  <CharactersWithSpaces>1991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2018-04-27T02:51:00Z</dcterms:created>
  <dc:creator>amd</dc:creator>
  <cp:lastModifiedBy>卡农</cp:lastModifiedBy>
  <dcterms:modified xsi:type="dcterms:W3CDTF">2025-08-14T09:59:17Z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3478A0F6735E49BABFA3B685CED2ACC7_12</vt:lpwstr>
  </property>
  <property fmtid="{D5CDD505-2E9C-101B-9397-08002B2CF9AE}" pid="4" name="KSOTemplateDocerSaveRecord">
    <vt:lpwstr>eyJoZGlkIjoiMmI0Yjg1YmE0ZDNhMzU4NGQ2ZWZlN2Q4MTI2NTI3ZWMiLCJ1c2VySWQiOiIzNjI5MDMwMzkifQ==</vt:lpwstr>
  </property>
</Properties>
</file>